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sz w:val="30"/>
          <w:szCs w:val="30"/>
        </w:rPr>
      </w:pPr>
      <w:r>
        <w:rPr>
          <w:rFonts w:hint="eastAsia" w:ascii="黑体" w:hAnsi="黑体" w:eastAsia="黑体"/>
          <w:sz w:val="30"/>
          <w:szCs w:val="30"/>
        </w:rPr>
        <w:t>动力工程及工程热物理硕士研究生留学生培养方案</w:t>
      </w:r>
    </w:p>
    <w:p>
      <w:pPr>
        <w:spacing w:line="720" w:lineRule="auto"/>
        <w:jc w:val="center"/>
        <w:rPr>
          <w:sz w:val="30"/>
          <w:szCs w:val="30"/>
        </w:rPr>
      </w:pPr>
      <w:r>
        <w:rPr>
          <w:sz w:val="30"/>
          <w:szCs w:val="30"/>
        </w:rPr>
        <w:t>Master Program</w:t>
      </w:r>
      <w:r>
        <w:rPr>
          <w:rFonts w:hint="eastAsia"/>
          <w:sz w:val="30"/>
          <w:szCs w:val="30"/>
        </w:rPr>
        <w:t xml:space="preserve"> of</w:t>
      </w:r>
    </w:p>
    <w:p>
      <w:pPr>
        <w:spacing w:line="720" w:lineRule="auto"/>
        <w:jc w:val="center"/>
        <w:rPr>
          <w:rFonts w:hint="eastAsia"/>
          <w:sz w:val="30"/>
          <w:szCs w:val="30"/>
        </w:rPr>
      </w:pPr>
      <w:r>
        <w:rPr>
          <w:rFonts w:hint="eastAsia"/>
          <w:sz w:val="30"/>
          <w:szCs w:val="30"/>
        </w:rPr>
        <w:t xml:space="preserve">Power Engineering and Engineering Thermophysics </w:t>
      </w:r>
    </w:p>
    <w:p>
      <w:pPr>
        <w:spacing w:line="720" w:lineRule="auto"/>
        <w:jc w:val="center"/>
        <w:rPr>
          <w:rFonts w:hint="eastAsia"/>
          <w:sz w:val="30"/>
          <w:szCs w:val="30"/>
        </w:rPr>
      </w:pPr>
      <w:r>
        <w:rPr>
          <w:rFonts w:hint="eastAsia"/>
          <w:sz w:val="30"/>
          <w:szCs w:val="30"/>
        </w:rPr>
        <w:t>for</w:t>
      </w:r>
      <w:r>
        <w:rPr>
          <w:rFonts w:hint="eastAsia"/>
          <w:sz w:val="30"/>
          <w:szCs w:val="30"/>
          <w:lang w:val="en-US" w:eastAsia="zh-CN"/>
        </w:rPr>
        <w:t xml:space="preserve"> </w:t>
      </w:r>
      <w:r>
        <w:rPr>
          <w:rFonts w:hint="eastAsia"/>
          <w:sz w:val="30"/>
          <w:szCs w:val="30"/>
        </w:rPr>
        <w:t>International Students</w:t>
      </w:r>
    </w:p>
    <w:p>
      <w:pPr>
        <w:spacing w:line="720" w:lineRule="auto"/>
        <w:jc w:val="center"/>
        <w:rPr>
          <w:rFonts w:hint="eastAsia"/>
          <w:sz w:val="30"/>
          <w:szCs w:val="30"/>
        </w:rPr>
      </w:pPr>
      <w:r>
        <w:rPr>
          <w:rFonts w:hint="eastAsia" w:ascii="黑体" w:hAnsi="黑体" w:eastAsia="黑体"/>
          <w:sz w:val="30"/>
          <w:szCs w:val="30"/>
          <w:lang w:val="en-US" w:eastAsia="zh-CN"/>
        </w:rPr>
        <w:t>专业代码</w:t>
      </w:r>
      <w:r>
        <w:rPr>
          <w:rFonts w:hint="eastAsia"/>
          <w:sz w:val="30"/>
          <w:szCs w:val="30"/>
          <w:lang w:val="en-US" w:eastAsia="zh-CN"/>
        </w:rPr>
        <w:t>（0807）</w:t>
      </w:r>
    </w:p>
    <w:p>
      <w:pPr>
        <w:spacing w:line="720" w:lineRule="auto"/>
        <w:jc w:val="center"/>
        <w:rPr>
          <w:sz w:val="30"/>
          <w:szCs w:val="30"/>
        </w:rPr>
      </w:pPr>
      <w:r>
        <w:rPr>
          <w:sz w:val="30"/>
          <w:szCs w:val="30"/>
        </w:rPr>
        <w:t xml:space="preserve">Code of the </w:t>
      </w:r>
      <w:r>
        <w:rPr>
          <w:rFonts w:hint="eastAsia"/>
          <w:sz w:val="30"/>
          <w:szCs w:val="30"/>
        </w:rPr>
        <w:t>S</w:t>
      </w:r>
      <w:r>
        <w:rPr>
          <w:sz w:val="30"/>
          <w:szCs w:val="30"/>
        </w:rPr>
        <w:t>pecialty：08</w:t>
      </w:r>
      <w:r>
        <w:rPr>
          <w:rFonts w:hint="eastAsia"/>
          <w:sz w:val="30"/>
          <w:szCs w:val="30"/>
        </w:rPr>
        <w:t>07</w:t>
      </w:r>
    </w:p>
    <w:p>
      <w:pPr>
        <w:spacing w:line="312" w:lineRule="auto"/>
        <w:jc w:val="center"/>
        <w:rPr>
          <w:rFonts w:ascii="宋体"/>
          <w:sz w:val="24"/>
        </w:rPr>
      </w:pPr>
    </w:p>
    <w:p>
      <w:pPr>
        <w:spacing w:line="312" w:lineRule="auto"/>
        <w:ind w:firstLine="482" w:firstLineChars="200"/>
        <w:outlineLvl w:val="0"/>
        <w:rPr>
          <w:rFonts w:ascii="宋体"/>
          <w:b/>
          <w:sz w:val="24"/>
        </w:rPr>
      </w:pPr>
      <w:r>
        <w:rPr>
          <w:rFonts w:hint="eastAsia" w:ascii="宋体" w:hAnsi="宋体"/>
          <w:b/>
          <w:sz w:val="24"/>
        </w:rPr>
        <w:t>一、学科简介</w:t>
      </w:r>
    </w:p>
    <w:p>
      <w:pPr>
        <w:spacing w:line="312" w:lineRule="auto"/>
        <w:ind w:firstLine="420" w:firstLineChars="200"/>
      </w:pPr>
      <w:r>
        <w:rPr>
          <w:rFonts w:hint="eastAsia"/>
        </w:rPr>
        <w:t>动力工程及工程热物理一级学科作为我校最早成立、长期重点建设的学科之一, 已经历了 40年的发展和积累，下属化工过程机械学科2000年被评为中国石化总公 司重点学科，2006年被评为江苏省“十一五”重点学科，2011年“动力工程及工程 热物理”学科被评为省“十二五”重点（培育）学科，于2016年以良好成绩通过验 收，并再次获批省“十三五”重点（培育）学科。</w:t>
      </w:r>
    </w:p>
    <w:p>
      <w:pPr>
        <w:spacing w:line="312" w:lineRule="auto"/>
        <w:ind w:firstLine="420" w:firstLineChars="200"/>
      </w:pPr>
      <w:r>
        <w:rPr>
          <w:rFonts w:hint="eastAsia"/>
        </w:rPr>
        <w:t>本授权点依托江苏省政府与中石化、中石油和中海油共建常州大学平台以及强 大的江苏省装备制造产业，通过“多元化协同培养机制”，聚集各方资源，着力内 涵建设，学科己逐步成长为注重国际化、突出学科交叉、贴近石油与化工行业和地 方产业发展的特色重点学科。学科队伍年龄、职称、知识结构合理，其中教授13人， 副教授16人，博士 26人，博士比例达到60%, 45岁以下高级职称教师达63%以上, 近年来学科取得了突出的研究成果，分获国家技术发明二等奖、国家科技进步二等 奖各1项，省部级科技奖励近20项。</w:t>
      </w:r>
    </w:p>
    <w:p>
      <w:pPr>
        <w:spacing w:line="312" w:lineRule="auto"/>
        <w:ind w:firstLine="420" w:firstLineChars="200"/>
      </w:pPr>
      <w:r>
        <w:rPr>
          <w:rFonts w:hint="eastAsia"/>
        </w:rPr>
        <w:t>学科与国民经济需求紧密关联，在“中国制造2025”及大力提倡能源高效利用 的背景下，主动融入石油石化行业及江苏乃至长三角地区的经济发展，为社会输送 优秀的高级研究及应用型人才，并为石油石化行业和地方产业提供有力的技术成果 支撑。</w:t>
      </w:r>
    </w:p>
    <w:p>
      <w:pPr>
        <w:pStyle w:val="10"/>
        <w:numPr>
          <w:ilvl w:val="0"/>
          <w:numId w:val="1"/>
        </w:numPr>
        <w:ind w:firstLine="482"/>
        <w:rPr>
          <w:b/>
          <w:bCs/>
          <w:sz w:val="24"/>
        </w:rPr>
      </w:pPr>
      <w:r>
        <w:rPr>
          <w:b/>
          <w:bCs/>
          <w:sz w:val="24"/>
        </w:rPr>
        <w:t>Brief Introduction to the Discipline</w:t>
      </w:r>
    </w:p>
    <w:p>
      <w:pPr>
        <w:ind w:firstLine="420" w:firstLineChars="200"/>
      </w:pPr>
      <w:r>
        <w:t>Power Engineering and Engineering Thermophysics is a first-level discipline master degree program and is one of the key disciplines with the longest history in Changzhou University. Over the past 40 years, the second-level discipline of Chemical Process Machinery was awarded as a key discipline in SINOPEC in 2000 and a key discipline in the 11</w:t>
      </w:r>
      <w:r>
        <w:rPr>
          <w:vertAlign w:val="superscript"/>
        </w:rPr>
        <w:t>th</w:t>
      </w:r>
      <w:r>
        <w:t xml:space="preserve"> Five Year Plan of Jiangsu Province in 2006; the first-level discipline of Power Engineering and Engineering Thermophysics was awarded as a key discipline (cultivation) in the 12</w:t>
      </w:r>
      <w:r>
        <w:rPr>
          <w:vertAlign w:val="superscript"/>
        </w:rPr>
        <w:t>th</w:t>
      </w:r>
      <w:r>
        <w:t xml:space="preserve"> Five Year Plan of Jiangsu Province in 2011 was awarded as a key discipline (cultivation) in the 13</w:t>
      </w:r>
      <w:r>
        <w:rPr>
          <w:vertAlign w:val="superscript"/>
        </w:rPr>
        <w:t>th</w:t>
      </w:r>
      <w:r>
        <w:t xml:space="preserve"> Five Year Plan of Jiangsu Province in 2016.</w:t>
      </w:r>
    </w:p>
    <w:p>
      <w:pPr>
        <w:ind w:firstLine="420" w:firstLineChars="200"/>
      </w:pPr>
      <w:r>
        <w:t>Changzhou University is jointly supported by Jiangsu provincial government, SINOPEC, PetroChina and CNOOC. The training Program of International Postgraduates in Changzhou University takes the advantage of strong equipment manufacturing industry in Jiangsu Province, gathers the resources from all sides through the Diversified and Synergetic Training Mechanism to focus on the connotation construction and has grown to be a key discipline with the characteristics of international-orientation, inter-discipline and close-linkage with the local petroleum and petrochemical industries as well as their development.</w:t>
      </w:r>
    </w:p>
    <w:p>
      <w:pPr>
        <w:ind w:firstLine="420" w:firstLineChars="200"/>
      </w:pPr>
      <w:r>
        <w:t>The discipline of Power Engineering and Engineering Thermophysics shares a group of supervisors, including 13 professors and 16 associate professors. 60% of the group members have doctor degree and 63% of professors and associate professors are at ages under 45-year old. The group has made remarkable achievements in recent years, and was awarded a Second Prize of National Award for Technological Invention and a Second Prize of National Award for Science and Technology Progress as well as nearly 20 awards for science and technology progress at the provincial and ministerial levels.</w:t>
      </w:r>
    </w:p>
    <w:p>
      <w:pPr>
        <w:ind w:firstLine="420" w:firstLineChars="200"/>
      </w:pPr>
      <w:r>
        <w:t>Closely linked with the demand of national economy, the discipline of Power Engineering and Engineering Thermophysics actively merges with the development of petroleum and petrochemical industries and the economic development of Jiangsu province and the Yangtze River Delta region, under the backgrounds of “Made in China 2025” and vigorous promotion of high-efficient utilization of energy in China. The discipline of Power Engineering and Engineering Thermophysics has trained excellent scientific-research and/or application orientated graduates and has supported the development of petroleum and petrochemical industries as well the local economy with fruitful technical achievements.</w:t>
      </w:r>
    </w:p>
    <w:p>
      <w:pPr>
        <w:spacing w:line="312" w:lineRule="auto"/>
        <w:ind w:firstLine="482" w:firstLineChars="200"/>
        <w:outlineLvl w:val="0"/>
        <w:rPr>
          <w:rFonts w:ascii="宋体" w:hAnsi="宋体"/>
          <w:b/>
          <w:sz w:val="24"/>
        </w:rPr>
      </w:pPr>
      <w:r>
        <w:rPr>
          <w:rFonts w:hint="eastAsia" w:ascii="宋体" w:hAnsi="宋体"/>
          <w:b/>
          <w:sz w:val="24"/>
        </w:rPr>
        <w:t>二、培养目标</w:t>
      </w:r>
    </w:p>
    <w:p>
      <w:pPr>
        <w:spacing w:line="312" w:lineRule="auto"/>
        <w:ind w:firstLine="420" w:firstLineChars="200"/>
      </w:pPr>
      <w:r>
        <w:rPr>
          <w:rFonts w:hint="eastAsia"/>
        </w:rPr>
        <w:t>培养适应新时代中国特色社会主义建设需要的，具有正确的人生观、健康的体 魄和心理，严谨求实的科学作风；能熟练掌握有关动力工程及工程热物理基本原理 和基本理论，了解本领域国内外研究状况以及新的发展动态；具有良好的计算机和 现代实验技能，能熟练地阅读动力工程及工程热物理专业外文资料，具有良好的科 技论文写作能力，具有独立开展科学研究和技术研发的能力，具备独立进行研究开 发和工程设计等方面能力的高级创新型研究人才。</w:t>
      </w:r>
    </w:p>
    <w:p>
      <w:pPr>
        <w:spacing w:line="312" w:lineRule="auto"/>
        <w:ind w:firstLine="482" w:firstLineChars="200"/>
        <w:rPr>
          <w:b/>
          <w:bCs/>
          <w:sz w:val="24"/>
        </w:rPr>
      </w:pPr>
      <w:r>
        <w:rPr>
          <w:rFonts w:hint="eastAsia"/>
          <w:b/>
          <w:bCs/>
          <w:sz w:val="24"/>
        </w:rPr>
        <w:t>2. Training Objectives</w:t>
      </w:r>
    </w:p>
    <w:p>
      <w:pPr>
        <w:ind w:firstLine="210" w:firstLineChars="100"/>
      </w:pPr>
      <w:r>
        <w:rPr>
          <w:rFonts w:hint="eastAsia"/>
        </w:rPr>
        <w:t xml:space="preserve">  Cultivate graduates with correct view of life, physical and mental health and rigorous and realistic style to meet the demands of development of Socialism with Chinese Characteristics for a New Era. Cultivate graduates with keen acknowledge of basic principles and theories on Power Engineering and Engineering Thermophysics as well as the domestic and international development trends of science and technology in research fields. Cultivate graduates with good technic skills of computer and modern experiments, and with abilities to read smoothly the information on Power Engineering and Engineering Thermophysics in foreign languages. Cultivate graduates with the potential to conduct scientific and technologic research independently, and with the innovation talents in the aspects of research and development as well as engineering design.</w:t>
      </w:r>
    </w:p>
    <w:p>
      <w:pPr>
        <w:spacing w:line="312" w:lineRule="auto"/>
        <w:ind w:firstLine="482" w:firstLineChars="200"/>
        <w:outlineLvl w:val="0"/>
        <w:rPr>
          <w:rFonts w:ascii="宋体" w:hAnsi="宋体"/>
          <w:b/>
          <w:sz w:val="24"/>
        </w:rPr>
      </w:pPr>
      <w:r>
        <w:rPr>
          <w:rFonts w:hint="eastAsia" w:ascii="宋体" w:hAnsi="宋体"/>
          <w:b/>
          <w:sz w:val="24"/>
        </w:rPr>
        <w:t>三、学习年限</w:t>
      </w:r>
    </w:p>
    <w:p>
      <w:pPr>
        <w:spacing w:line="312" w:lineRule="auto"/>
        <w:ind w:firstLine="420" w:firstLineChars="200"/>
      </w:pPr>
      <w:r>
        <w:rPr>
          <w:rFonts w:hint="eastAsia"/>
        </w:rPr>
        <w:t>学术学位硕士研究生的学制为3年。如确有必要可申请延长学习时间，但最长 一般不超过5年，逾期作自动退学处理。</w:t>
      </w:r>
    </w:p>
    <w:p>
      <w:pPr>
        <w:spacing w:line="312" w:lineRule="auto"/>
        <w:ind w:firstLine="482" w:firstLineChars="200"/>
        <w:rPr>
          <w:b/>
          <w:bCs/>
          <w:sz w:val="24"/>
        </w:rPr>
      </w:pPr>
      <w:r>
        <w:rPr>
          <w:rFonts w:hint="eastAsia"/>
          <w:b/>
          <w:bCs/>
          <w:sz w:val="24"/>
        </w:rPr>
        <w:t>3. Duration of Master Program</w:t>
      </w:r>
    </w:p>
    <w:p>
      <w:r>
        <w:t xml:space="preserve">  </w:t>
      </w:r>
      <w:r>
        <w:rPr>
          <w:rFonts w:hint="eastAsia"/>
        </w:rPr>
        <w:t xml:space="preserve">  </w:t>
      </w:r>
      <w:r>
        <w:t>The Education system for international postgraduates in Power Engineering and Engineering Thermophysics is 3 years, and the duration of the program is generally no more than 5 years, if the graduation is delayed in necessary. Longer than the duration of the Program, the students will be dealt with voluntary withdrawal.</w:t>
      </w:r>
    </w:p>
    <w:p>
      <w:pPr>
        <w:numPr>
          <w:ilvl w:val="0"/>
          <w:numId w:val="2"/>
        </w:numPr>
        <w:spacing w:line="312" w:lineRule="auto"/>
        <w:ind w:firstLine="482" w:firstLineChars="200"/>
        <w:rPr>
          <w:rFonts w:ascii="宋体" w:hAnsi="宋体"/>
          <w:b/>
          <w:bCs/>
          <w:sz w:val="24"/>
        </w:rPr>
      </w:pPr>
      <w:r>
        <w:rPr>
          <w:rFonts w:hint="eastAsia" w:ascii="宋体" w:hAnsi="宋体"/>
          <w:b/>
          <w:bCs/>
          <w:sz w:val="24"/>
        </w:rPr>
        <w:t xml:space="preserve">主要研究方向 </w:t>
      </w:r>
    </w:p>
    <w:p>
      <w:pPr>
        <w:spacing w:line="312" w:lineRule="auto"/>
        <w:ind w:firstLine="420" w:firstLineChars="200"/>
      </w:pPr>
      <w:r>
        <w:rPr>
          <w:rFonts w:hint="eastAsia"/>
        </w:rPr>
        <w:t>（1）高效与洁净燃烧新技术</w:t>
      </w:r>
    </w:p>
    <w:p>
      <w:pPr>
        <w:spacing w:line="312" w:lineRule="auto"/>
        <w:ind w:firstLine="420" w:firstLineChars="200"/>
      </w:pPr>
      <w:r>
        <w:rPr>
          <w:rFonts w:hint="eastAsia"/>
        </w:rPr>
        <w:t>（2）气体污染物排放控制及有机和固体废弃物综合处理技术</w:t>
      </w:r>
    </w:p>
    <w:p>
      <w:pPr>
        <w:spacing w:line="312" w:lineRule="auto"/>
        <w:ind w:firstLine="420" w:firstLineChars="200"/>
      </w:pPr>
      <w:r>
        <w:rPr>
          <w:rFonts w:hint="eastAsia"/>
        </w:rPr>
        <w:t>（3）能源高效综合利用及储能技术与装备</w:t>
      </w:r>
    </w:p>
    <w:p>
      <w:pPr>
        <w:spacing w:line="312" w:lineRule="auto"/>
        <w:ind w:firstLine="420" w:firstLineChars="200"/>
      </w:pPr>
      <w:r>
        <w:rPr>
          <w:rFonts w:hint="eastAsia"/>
        </w:rPr>
        <w:t>（4）新型强化传热、隔热技术及新材料</w:t>
      </w:r>
    </w:p>
    <w:p>
      <w:pPr>
        <w:spacing w:line="312" w:lineRule="auto"/>
        <w:ind w:firstLine="420" w:firstLineChars="200"/>
      </w:pPr>
      <w:r>
        <w:rPr>
          <w:rFonts w:hint="eastAsia"/>
        </w:rPr>
        <w:t>（5）新能源开发利用及多能互补技术</w:t>
      </w:r>
    </w:p>
    <w:p>
      <w:pPr>
        <w:spacing w:line="312" w:lineRule="auto"/>
        <w:ind w:firstLine="482" w:firstLineChars="200"/>
        <w:rPr>
          <w:b/>
          <w:bCs/>
          <w:sz w:val="24"/>
        </w:rPr>
      </w:pPr>
      <w:r>
        <w:rPr>
          <w:rFonts w:hint="eastAsia"/>
          <w:b/>
          <w:bCs/>
          <w:sz w:val="24"/>
        </w:rPr>
        <w:t>4. Main Research Direction</w:t>
      </w:r>
    </w:p>
    <w:p>
      <w:r>
        <w:rPr>
          <w:rFonts w:hint="eastAsia"/>
        </w:rPr>
        <w:t>（1）</w:t>
      </w:r>
      <w:r>
        <w:t>New technologies for efficient and clean combustion</w:t>
      </w:r>
    </w:p>
    <w:p>
      <w:r>
        <w:rPr>
          <w:rFonts w:hint="eastAsia"/>
        </w:rPr>
        <w:t>（2）</w:t>
      </w:r>
      <w:r>
        <w:t>Emission control of gas pollutants and integrated treatment of organic and solid wastes</w:t>
      </w:r>
    </w:p>
    <w:p>
      <w:r>
        <w:rPr>
          <w:rFonts w:hint="eastAsia"/>
        </w:rPr>
        <w:t>（3）</w:t>
      </w:r>
      <w:r>
        <w:t>Energy efficient and comprehensive utilization and energy storage technology and equipment</w:t>
      </w:r>
    </w:p>
    <w:p>
      <w:r>
        <w:rPr>
          <w:rFonts w:hint="eastAsia"/>
        </w:rPr>
        <w:t>（4）</w:t>
      </w:r>
      <w:r>
        <w:t>New enhanced heat transfer, heat insulation technology and new materials</w:t>
      </w:r>
    </w:p>
    <w:p>
      <w:r>
        <w:rPr>
          <w:rFonts w:hint="eastAsia"/>
        </w:rPr>
        <w:t>（5）</w:t>
      </w:r>
      <w:r>
        <w:t>New energy development and utilization and multi-energy complementary technology</w:t>
      </w:r>
    </w:p>
    <w:p>
      <w:pPr>
        <w:numPr>
          <w:ilvl w:val="0"/>
          <w:numId w:val="2"/>
        </w:numPr>
        <w:spacing w:line="312" w:lineRule="auto"/>
        <w:ind w:firstLine="482" w:firstLineChars="200"/>
        <w:jc w:val="left"/>
        <w:rPr>
          <w:rFonts w:ascii="宋体" w:hAnsi="宋体"/>
          <w:b/>
          <w:bCs/>
          <w:sz w:val="24"/>
        </w:rPr>
      </w:pPr>
      <w:r>
        <w:rPr>
          <w:rFonts w:hint="eastAsia" w:ascii="宋体" w:hAnsi="宋体"/>
          <w:b/>
          <w:bCs/>
          <w:sz w:val="24"/>
        </w:rPr>
        <w:t xml:space="preserve">课程设置及学分要求 </w:t>
      </w:r>
    </w:p>
    <w:p>
      <w:pPr>
        <w:spacing w:line="312" w:lineRule="auto"/>
        <w:ind w:left="420" w:leftChars="200"/>
        <w:jc w:val="left"/>
        <w:rPr>
          <w:rFonts w:ascii="宋体"/>
          <w:sz w:val="24"/>
        </w:rPr>
      </w:pPr>
      <w:r>
        <w:rPr>
          <w:b/>
          <w:bCs/>
          <w:sz w:val="24"/>
        </w:rPr>
        <w:t>5. Set of curriculum of requirements of credits</w:t>
      </w:r>
    </w:p>
    <w:tbl>
      <w:tblPr>
        <w:tblStyle w:val="5"/>
        <w:tblW w:w="11189" w:type="dxa"/>
        <w:jc w:val="center"/>
        <w:tblLayout w:type="fixed"/>
        <w:tblCellMar>
          <w:top w:w="0" w:type="dxa"/>
          <w:left w:w="108" w:type="dxa"/>
          <w:bottom w:w="0" w:type="dxa"/>
          <w:right w:w="108" w:type="dxa"/>
        </w:tblCellMar>
      </w:tblPr>
      <w:tblGrid>
        <w:gridCol w:w="1173"/>
        <w:gridCol w:w="2880"/>
        <w:gridCol w:w="807"/>
        <w:gridCol w:w="807"/>
        <w:gridCol w:w="894"/>
        <w:gridCol w:w="709"/>
        <w:gridCol w:w="1576"/>
        <w:gridCol w:w="709"/>
        <w:gridCol w:w="925"/>
        <w:gridCol w:w="709"/>
      </w:tblGrid>
      <w:tr>
        <w:tblPrEx>
          <w:tblCellMar>
            <w:top w:w="0" w:type="dxa"/>
            <w:left w:w="108" w:type="dxa"/>
            <w:bottom w:w="0" w:type="dxa"/>
            <w:right w:w="108" w:type="dxa"/>
          </w:tblCellMar>
        </w:tblPrEx>
        <w:trPr>
          <w:trHeight w:val="280" w:hRule="atLeast"/>
          <w:jc w:val="center"/>
        </w:trPr>
        <w:tc>
          <w:tcPr>
            <w:tcW w:w="11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类别</w:t>
            </w:r>
          </w:p>
          <w:p>
            <w:pPr>
              <w:widowControl/>
              <w:jc w:val="center"/>
              <w:rPr>
                <w:rFonts w:ascii="宋体" w:hAnsi="宋体" w:cs="宋体"/>
                <w:kern w:val="0"/>
                <w:szCs w:val="21"/>
              </w:rPr>
            </w:pPr>
            <w:r>
              <w:rPr>
                <w:kern w:val="0"/>
                <w:szCs w:val="21"/>
              </w:rPr>
              <w:t>Category</w:t>
            </w:r>
          </w:p>
        </w:tc>
        <w:tc>
          <w:tcPr>
            <w:tcW w:w="28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课程名称</w:t>
            </w:r>
          </w:p>
          <w:p>
            <w:pPr>
              <w:widowControl/>
              <w:jc w:val="center"/>
              <w:rPr>
                <w:kern w:val="0"/>
                <w:szCs w:val="21"/>
              </w:rPr>
            </w:pPr>
            <w:r>
              <w:rPr>
                <w:kern w:val="0"/>
                <w:szCs w:val="21"/>
              </w:rPr>
              <w:t>Name of curriculum</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hint="eastAsia"/>
                <w:kern w:val="0"/>
                <w:szCs w:val="21"/>
                <w:lang w:val="en-US" w:eastAsia="zh-CN"/>
              </w:rPr>
            </w:pPr>
            <w:r>
              <w:rPr>
                <w:rFonts w:hint="eastAsia"/>
                <w:kern w:val="0"/>
                <w:szCs w:val="21"/>
                <w:lang w:val="en-US" w:eastAsia="zh-CN"/>
              </w:rPr>
              <w:t>课程编号</w:t>
            </w:r>
          </w:p>
          <w:p>
            <w:pPr>
              <w:widowControl/>
              <w:jc w:val="center"/>
              <w:rPr>
                <w:kern w:val="0"/>
                <w:szCs w:val="21"/>
              </w:rPr>
            </w:pPr>
            <w:r>
              <w:rPr>
                <w:rFonts w:hint="eastAsia"/>
                <w:kern w:val="0"/>
                <w:szCs w:val="21"/>
                <w:lang w:val="en-US" w:eastAsia="zh-CN"/>
              </w:rPr>
              <w:t xml:space="preserve">Number </w:t>
            </w:r>
            <w:r>
              <w:rPr>
                <w:kern w:val="0"/>
                <w:szCs w:val="21"/>
              </w:rPr>
              <w:t>of curriculum</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学时</w:t>
            </w:r>
          </w:p>
          <w:p>
            <w:pPr>
              <w:widowControl/>
              <w:jc w:val="center"/>
              <w:rPr>
                <w:kern w:val="0"/>
                <w:szCs w:val="21"/>
              </w:rPr>
            </w:pPr>
            <w:r>
              <w:rPr>
                <w:kern w:val="0"/>
                <w:szCs w:val="21"/>
              </w:rPr>
              <w:t>Hours</w:t>
            </w: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学分</w:t>
            </w:r>
          </w:p>
          <w:p>
            <w:pPr>
              <w:widowControl/>
              <w:jc w:val="center"/>
              <w:rPr>
                <w:kern w:val="0"/>
                <w:szCs w:val="21"/>
              </w:rPr>
            </w:pPr>
            <w:r>
              <w:rPr>
                <w:kern w:val="0"/>
                <w:szCs w:val="21"/>
              </w:rPr>
              <w:t>credits</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开课学期</w:t>
            </w:r>
          </w:p>
          <w:p>
            <w:pPr>
              <w:widowControl/>
              <w:jc w:val="center"/>
              <w:rPr>
                <w:kern w:val="0"/>
                <w:szCs w:val="21"/>
              </w:rPr>
            </w:pPr>
            <w:r>
              <w:rPr>
                <w:kern w:val="0"/>
                <w:szCs w:val="21"/>
              </w:rPr>
              <w:t>Semester</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开课学院</w:t>
            </w:r>
          </w:p>
          <w:p>
            <w:pPr>
              <w:widowControl/>
              <w:jc w:val="center"/>
              <w:rPr>
                <w:kern w:val="0"/>
                <w:szCs w:val="21"/>
              </w:rPr>
            </w:pPr>
            <w:r>
              <w:rPr>
                <w:kern w:val="0"/>
                <w:szCs w:val="21"/>
              </w:rPr>
              <w:t>School</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授课方式</w:t>
            </w:r>
          </w:p>
          <w:p>
            <w:pPr>
              <w:widowControl/>
              <w:jc w:val="center"/>
              <w:rPr>
                <w:kern w:val="0"/>
                <w:szCs w:val="21"/>
              </w:rPr>
            </w:pPr>
            <w:r>
              <w:rPr>
                <w:kern w:val="0"/>
                <w:szCs w:val="21"/>
              </w:rPr>
              <w:t>Way of Teaching</w:t>
            </w: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考试方式</w:t>
            </w:r>
          </w:p>
          <w:p>
            <w:pPr>
              <w:widowControl/>
              <w:jc w:val="center"/>
              <w:rPr>
                <w:kern w:val="0"/>
                <w:szCs w:val="21"/>
              </w:rPr>
            </w:pPr>
            <w:r>
              <w:rPr>
                <w:kern w:val="0"/>
                <w:szCs w:val="21"/>
              </w:rPr>
              <w:t>Way of Tests</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备注</w:t>
            </w:r>
          </w:p>
          <w:p>
            <w:pPr>
              <w:widowControl/>
              <w:jc w:val="center"/>
              <w:rPr>
                <w:kern w:val="0"/>
                <w:szCs w:val="21"/>
              </w:rPr>
            </w:pPr>
            <w:r>
              <w:rPr>
                <w:kern w:val="0"/>
                <w:szCs w:val="21"/>
              </w:rPr>
              <w:t>Notes</w:t>
            </w:r>
          </w:p>
        </w:tc>
      </w:tr>
      <w:tr>
        <w:tblPrEx>
          <w:tblCellMar>
            <w:top w:w="0" w:type="dxa"/>
            <w:left w:w="108" w:type="dxa"/>
            <w:bottom w:w="0" w:type="dxa"/>
            <w:right w:w="108" w:type="dxa"/>
          </w:tblCellMar>
        </w:tblPrEx>
        <w:trPr>
          <w:trHeight w:val="352" w:hRule="atLeast"/>
          <w:jc w:val="center"/>
        </w:trPr>
        <w:tc>
          <w:tcPr>
            <w:tcW w:w="1173" w:type="dxa"/>
            <w:vMerge w:val="restart"/>
            <w:tcBorders>
              <w:top w:val="single" w:color="auto" w:sz="4" w:space="0"/>
              <w:left w:val="single" w:color="auto" w:sz="4" w:space="0"/>
              <w:right w:val="single" w:color="auto" w:sz="4" w:space="0"/>
            </w:tcBorders>
            <w:noWrap/>
            <w:vAlign w:val="center"/>
          </w:tcPr>
          <w:p>
            <w:pPr>
              <w:widowControl/>
              <w:jc w:val="center"/>
            </w:pPr>
            <w:r>
              <w:t>公共课程</w:t>
            </w:r>
            <w:r>
              <w:rPr>
                <w:rFonts w:hint="eastAsia"/>
              </w:rPr>
              <w:t>*</w:t>
            </w:r>
          </w:p>
          <w:p>
            <w:pPr>
              <w:widowControl/>
              <w:jc w:val="center"/>
            </w:pPr>
            <w:r>
              <w:rPr>
                <w:rFonts w:hint="eastAsia"/>
              </w:rPr>
              <w:t>General</w:t>
            </w:r>
          </w:p>
          <w:p>
            <w:pPr>
              <w:widowControl/>
              <w:jc w:val="center"/>
              <w:rPr>
                <w:rFonts w:ascii="宋体" w:hAnsi="宋体" w:cs="宋体"/>
                <w:kern w:val="0"/>
                <w:szCs w:val="21"/>
              </w:rPr>
            </w:pPr>
            <w:r>
              <w:rPr>
                <w:rFonts w:hint="eastAsia"/>
              </w:rPr>
              <w:t>Courses</w:t>
            </w:r>
          </w:p>
        </w:tc>
        <w:tc>
          <w:tcPr>
            <w:tcW w:w="2880" w:type="dxa"/>
            <w:tcBorders>
              <w:top w:val="single" w:color="auto" w:sz="4" w:space="0"/>
              <w:left w:val="nil"/>
              <w:bottom w:val="single" w:color="auto" w:sz="4" w:space="0"/>
              <w:right w:val="single" w:color="auto" w:sz="4" w:space="0"/>
            </w:tcBorders>
            <w:noWrap/>
            <w:vAlign w:val="center"/>
          </w:tcPr>
          <w:p>
            <w:pPr>
              <w:widowControl/>
              <w:jc w:val="left"/>
              <w:rPr>
                <w:rFonts w:hint="eastAsia" w:eastAsia="宋体"/>
                <w:lang w:val="en-US" w:eastAsia="zh-CN"/>
              </w:rPr>
            </w:pPr>
            <w:r>
              <w:t>汉语综合</w:t>
            </w:r>
            <w:r>
              <w:rPr>
                <w:rFonts w:hint="eastAsia"/>
                <w:lang w:val="en-US" w:eastAsia="zh-CN"/>
              </w:rPr>
              <w:t>1</w:t>
            </w:r>
          </w:p>
          <w:p>
            <w:pPr>
              <w:widowControl/>
              <w:jc w:val="left"/>
              <w:rPr>
                <w:rFonts w:hint="eastAsia" w:ascii="宋体" w:hAnsi="宋体" w:eastAsia="宋体" w:cs="宋体"/>
                <w:kern w:val="0"/>
                <w:szCs w:val="21"/>
                <w:lang w:val="en-US" w:eastAsia="zh-CN"/>
              </w:rPr>
            </w:pPr>
            <w:r>
              <w:t>Comprehensive</w:t>
            </w:r>
            <w:r>
              <w:rPr>
                <w:rFonts w:hint="eastAsia"/>
              </w:rPr>
              <w:t xml:space="preserve"> Chinese </w:t>
            </w:r>
            <w:r>
              <w:rPr>
                <w:rFonts w:hint="eastAsia"/>
                <w:lang w:val="en-US" w:eastAsia="zh-CN"/>
              </w:rPr>
              <w:t>1</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LS23A2001</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r>
              <w:rPr>
                <w:rFonts w:hint="eastAsia" w:ascii="宋体" w:hAnsi="宋体" w:cs="宋体"/>
                <w:kern w:val="0"/>
                <w:szCs w:val="21"/>
              </w:rPr>
              <w:t>学分</w:t>
            </w:r>
          </w:p>
        </w:tc>
      </w:tr>
      <w:tr>
        <w:tblPrEx>
          <w:tblCellMar>
            <w:top w:w="0" w:type="dxa"/>
            <w:left w:w="108" w:type="dxa"/>
            <w:bottom w:w="0" w:type="dxa"/>
            <w:right w:w="108" w:type="dxa"/>
          </w:tblCellMar>
        </w:tblPrEx>
        <w:trPr>
          <w:trHeight w:val="352" w:hRule="atLeast"/>
          <w:jc w:val="center"/>
        </w:trPr>
        <w:tc>
          <w:tcPr>
            <w:tcW w:w="1173" w:type="dxa"/>
            <w:vMerge w:val="continue"/>
            <w:tcBorders>
              <w:left w:val="single" w:color="auto" w:sz="4" w:space="0"/>
              <w:right w:val="single" w:color="auto" w:sz="4" w:space="0"/>
            </w:tcBorders>
            <w:noWrap/>
            <w:vAlign w:val="center"/>
          </w:tcPr>
          <w:p>
            <w:pPr>
              <w:widowControl/>
              <w:jc w:val="center"/>
              <w:rPr>
                <w:rFonts w:hint="eastAsia"/>
              </w:rPr>
            </w:pPr>
          </w:p>
        </w:tc>
        <w:tc>
          <w:tcPr>
            <w:tcW w:w="2880" w:type="dxa"/>
            <w:tcBorders>
              <w:top w:val="single" w:color="auto" w:sz="4" w:space="0"/>
              <w:left w:val="nil"/>
              <w:bottom w:val="single" w:color="auto" w:sz="4" w:space="0"/>
              <w:right w:val="single" w:color="auto" w:sz="4" w:space="0"/>
            </w:tcBorders>
            <w:noWrap/>
            <w:vAlign w:val="center"/>
          </w:tcPr>
          <w:p>
            <w:pPr>
              <w:widowControl/>
              <w:jc w:val="left"/>
              <w:rPr>
                <w:rFonts w:hint="eastAsia" w:eastAsia="宋体"/>
                <w:lang w:val="en-US" w:eastAsia="zh-CN"/>
              </w:rPr>
            </w:pPr>
            <w:r>
              <w:t>汉语综合</w:t>
            </w:r>
            <w:r>
              <w:rPr>
                <w:rFonts w:hint="eastAsia"/>
                <w:lang w:val="en-US" w:eastAsia="zh-CN"/>
              </w:rPr>
              <w:t>2</w:t>
            </w:r>
          </w:p>
          <w:p>
            <w:pPr>
              <w:widowControl/>
              <w:jc w:val="left"/>
              <w:rPr>
                <w:rFonts w:hint="eastAsia" w:eastAsia="宋体"/>
                <w:lang w:val="en-US" w:eastAsia="zh-CN"/>
              </w:rPr>
            </w:pPr>
            <w:r>
              <w:t>Comprehensive</w:t>
            </w:r>
            <w:r>
              <w:rPr>
                <w:rFonts w:hint="eastAsia"/>
              </w:rPr>
              <w:t xml:space="preserve"> Chinese </w:t>
            </w:r>
            <w:r>
              <w:rPr>
                <w:rFonts w:hint="eastAsia"/>
                <w:lang w:val="en-US" w:eastAsia="zh-CN"/>
              </w:rPr>
              <w:t>2</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LS23A200</w:t>
            </w:r>
            <w:r>
              <w:rPr>
                <w:rFonts w:hint="eastAsia" w:ascii="宋体" w:hAnsi="宋体" w:cs="宋体"/>
                <w:kern w:val="0"/>
                <w:szCs w:val="21"/>
                <w:lang w:val="en-US" w:eastAsia="zh-CN"/>
              </w:rPr>
              <w:t>2</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r>
      <w:tr>
        <w:trPr>
          <w:trHeight w:val="280" w:hRule="atLeast"/>
          <w:jc w:val="center"/>
        </w:trPr>
        <w:tc>
          <w:tcPr>
            <w:tcW w:w="1173" w:type="dxa"/>
            <w:vMerge w:val="continue"/>
            <w:tcBorders>
              <w:left w:val="single" w:color="auto" w:sz="4" w:space="0"/>
              <w:right w:val="single" w:color="auto" w:sz="4" w:space="0"/>
            </w:tcBorders>
            <w:noWrap/>
            <w:vAlign w:val="center"/>
          </w:tcPr>
          <w:p>
            <w:pPr>
              <w:widowControl/>
              <w:jc w:val="center"/>
            </w:pPr>
          </w:p>
        </w:tc>
        <w:tc>
          <w:tcPr>
            <w:tcW w:w="2880" w:type="dxa"/>
            <w:tcBorders>
              <w:top w:val="single" w:color="auto" w:sz="4" w:space="0"/>
              <w:left w:val="nil"/>
              <w:bottom w:val="single" w:color="auto" w:sz="4" w:space="0"/>
              <w:right w:val="single" w:color="auto" w:sz="4" w:space="0"/>
            </w:tcBorders>
            <w:noWrap/>
            <w:vAlign w:val="center"/>
          </w:tcPr>
          <w:p>
            <w:pPr>
              <w:widowControl/>
              <w:jc w:val="left"/>
            </w:pPr>
            <w:r>
              <w:t>汉语听说</w:t>
            </w:r>
          </w:p>
          <w:p>
            <w:pPr>
              <w:widowControl/>
              <w:jc w:val="left"/>
            </w:pPr>
            <w:r>
              <w:rPr>
                <w:rFonts w:hint="eastAsia"/>
              </w:rPr>
              <w:t>Listening and Speaking of Chinese</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LS23A2003</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right w:val="single" w:color="auto" w:sz="4" w:space="0"/>
            </w:tcBorders>
            <w:noWrap/>
            <w:vAlign w:val="center"/>
          </w:tcPr>
          <w:p>
            <w:pPr>
              <w:widowControl/>
              <w:jc w:val="center"/>
            </w:pPr>
          </w:p>
        </w:tc>
        <w:tc>
          <w:tcPr>
            <w:tcW w:w="2880" w:type="dxa"/>
            <w:tcBorders>
              <w:top w:val="single" w:color="auto" w:sz="4" w:space="0"/>
              <w:left w:val="nil"/>
              <w:bottom w:val="single" w:color="auto" w:sz="4" w:space="0"/>
              <w:right w:val="single" w:color="auto" w:sz="4" w:space="0"/>
            </w:tcBorders>
            <w:noWrap/>
            <w:vAlign w:val="center"/>
          </w:tcPr>
          <w:p>
            <w:pPr>
              <w:widowControl/>
              <w:jc w:val="left"/>
            </w:pPr>
            <w:r>
              <w:t>汉语阅读</w:t>
            </w:r>
          </w:p>
          <w:p>
            <w:pPr>
              <w:widowControl/>
              <w:jc w:val="left"/>
            </w:pPr>
            <w:r>
              <w:rPr>
                <w:rFonts w:hint="eastAsia"/>
              </w:rPr>
              <w:t>Chinese Reading</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LS23A2004</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right w:val="single" w:color="auto" w:sz="4" w:space="0"/>
            </w:tcBorders>
            <w:noWrap/>
            <w:vAlign w:val="center"/>
          </w:tcPr>
          <w:p>
            <w:pPr>
              <w:widowControl/>
              <w:jc w:val="center"/>
            </w:pPr>
          </w:p>
        </w:tc>
        <w:tc>
          <w:tcPr>
            <w:tcW w:w="2880" w:type="dxa"/>
            <w:tcBorders>
              <w:top w:val="single" w:color="auto" w:sz="4" w:space="0"/>
              <w:left w:val="nil"/>
              <w:bottom w:val="single" w:color="auto" w:sz="4" w:space="0"/>
              <w:right w:val="single" w:color="auto" w:sz="4" w:space="0"/>
            </w:tcBorders>
            <w:noWrap/>
            <w:vAlign w:val="center"/>
          </w:tcPr>
          <w:p>
            <w:pPr>
              <w:widowControl/>
              <w:jc w:val="left"/>
            </w:pPr>
            <w:r>
              <w:t>中国概况</w:t>
            </w:r>
          </w:p>
          <w:p>
            <w:pPr>
              <w:widowControl/>
              <w:jc w:val="left"/>
            </w:pPr>
            <w:r>
              <w:rPr>
                <w:rFonts w:hint="eastAsia"/>
              </w:rPr>
              <w:t>Introduction to China</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LS23A2005</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noWrap/>
            <w:vAlign w:val="center"/>
          </w:tcPr>
          <w:p>
            <w:pPr>
              <w:widowControl/>
              <w:jc w:val="center"/>
            </w:pPr>
          </w:p>
        </w:tc>
        <w:tc>
          <w:tcPr>
            <w:tcW w:w="2880" w:type="dxa"/>
            <w:tcBorders>
              <w:top w:val="single" w:color="auto" w:sz="4" w:space="0"/>
              <w:left w:val="nil"/>
              <w:bottom w:val="single" w:color="auto" w:sz="4" w:space="0"/>
              <w:right w:val="single" w:color="auto" w:sz="4" w:space="0"/>
            </w:tcBorders>
            <w:noWrap/>
            <w:vAlign w:val="center"/>
          </w:tcPr>
          <w:p>
            <w:pPr>
              <w:widowControl/>
              <w:jc w:val="left"/>
            </w:pPr>
            <w:r>
              <w:t>中国文化</w:t>
            </w:r>
          </w:p>
          <w:p>
            <w:pPr>
              <w:widowControl/>
              <w:jc w:val="left"/>
            </w:pPr>
            <w:r>
              <w:rPr>
                <w:rFonts w:hint="eastAsia"/>
              </w:rPr>
              <w:t>Chinese Culture</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LS23A2006</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 xml:space="preserve"> </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restart"/>
            <w:tcBorders>
              <w:top w:val="nil"/>
              <w:left w:val="single" w:color="auto" w:sz="4" w:space="0"/>
              <w:right w:val="single" w:color="auto" w:sz="4" w:space="0"/>
            </w:tcBorders>
            <w:vAlign w:val="center"/>
          </w:tcPr>
          <w:p>
            <w:pPr>
              <w:widowControl/>
              <w:jc w:val="left"/>
            </w:pPr>
            <w:bookmarkStart w:id="6" w:name="_GoBack" w:colFirst="1" w:colLast="4"/>
          </w:p>
          <w:p>
            <w:pPr>
              <w:widowControl/>
              <w:jc w:val="left"/>
            </w:pPr>
          </w:p>
          <w:p>
            <w:pPr>
              <w:widowControl/>
              <w:jc w:val="left"/>
            </w:pPr>
          </w:p>
          <w:p>
            <w:pPr>
              <w:widowControl/>
              <w:jc w:val="left"/>
            </w:pPr>
            <w:r>
              <w:t>学科必修课程</w:t>
            </w:r>
          </w:p>
          <w:p>
            <w:pPr>
              <w:widowControl/>
              <w:jc w:val="left"/>
            </w:pPr>
            <w:r>
              <w:rPr>
                <w:rFonts w:hint="eastAsia"/>
              </w:rPr>
              <w:t>Obligatory</w:t>
            </w:r>
          </w:p>
          <w:p>
            <w:pPr>
              <w:widowControl/>
              <w:jc w:val="left"/>
            </w:pPr>
            <w:r>
              <w:rPr>
                <w:rFonts w:hint="eastAsia"/>
              </w:rPr>
              <w:t>Courses</w:t>
            </w: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应用数理统计</w:t>
            </w:r>
          </w:p>
          <w:p>
            <w:pPr>
              <w:widowControl/>
              <w:jc w:val="left"/>
              <w:rPr>
                <w:kern w:val="0"/>
                <w:szCs w:val="21"/>
              </w:rPr>
            </w:pPr>
            <w:r>
              <w:rPr>
                <w:kern w:val="0"/>
                <w:szCs w:val="21"/>
              </w:rPr>
              <w:t>Applied Mathematical Statistics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LS04B2001</w:t>
            </w:r>
          </w:p>
        </w:tc>
        <w:tc>
          <w:tcPr>
            <w:tcW w:w="807"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48</w:t>
            </w:r>
          </w:p>
        </w:tc>
        <w:tc>
          <w:tcPr>
            <w:tcW w:w="894"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3</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Times New Roman" w:hAnsi="Times New Roman" w:eastAsia="宋体" w:cs="Times New Roman"/>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kern w:val="0"/>
                <w:szCs w:val="21"/>
              </w:rPr>
            </w:pPr>
            <w:bookmarkStart w:id="0" w:name="OLE_LINK5"/>
            <w:bookmarkStart w:id="1" w:name="OLE_LINK6"/>
            <w:r>
              <w:rPr>
                <w:kern w:val="0"/>
                <w:szCs w:val="21"/>
              </w:rPr>
              <w:t>Class Teaching</w:t>
            </w:r>
            <w:bookmarkEnd w:id="0"/>
            <w:bookmarkEnd w:id="1"/>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考试</w:t>
            </w:r>
          </w:p>
          <w:p>
            <w:pPr>
              <w:widowControl/>
              <w:jc w:val="center"/>
              <w:rPr>
                <w:kern w:val="0"/>
                <w:szCs w:val="21"/>
              </w:rPr>
            </w:pPr>
            <w:r>
              <w:rPr>
                <w:kern w:val="0"/>
                <w:szCs w:val="21"/>
              </w:rPr>
              <w:t>Exams</w:t>
            </w:r>
          </w:p>
        </w:tc>
        <w:tc>
          <w:tcPr>
            <w:tcW w:w="709" w:type="dxa"/>
            <w:vMerge w:val="restart"/>
            <w:tcBorders>
              <w:left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12</w:t>
            </w:r>
            <w:r>
              <w:rPr>
                <w:rFonts w:hint="eastAsia" w:ascii="宋体" w:hAnsi="宋体" w:cs="宋体"/>
                <w:kern w:val="0"/>
                <w:szCs w:val="21"/>
              </w:rPr>
              <w:t>学分</w:t>
            </w: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数值分析</w:t>
            </w:r>
          </w:p>
          <w:p>
            <w:pPr>
              <w:widowControl/>
              <w:jc w:val="left"/>
              <w:rPr>
                <w:kern w:val="0"/>
                <w:szCs w:val="21"/>
              </w:rPr>
            </w:pPr>
            <w:r>
              <w:rPr>
                <w:kern w:val="0"/>
                <w:szCs w:val="21"/>
              </w:rPr>
              <w:t>Numerical Analysis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LS04B2002</w:t>
            </w:r>
          </w:p>
        </w:tc>
        <w:tc>
          <w:tcPr>
            <w:tcW w:w="807"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48</w:t>
            </w:r>
          </w:p>
        </w:tc>
        <w:tc>
          <w:tcPr>
            <w:tcW w:w="894"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3</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考试</w:t>
            </w:r>
          </w:p>
          <w:p>
            <w:pPr>
              <w:widowControl/>
              <w:jc w:val="center"/>
              <w:rPr>
                <w:rFonts w:ascii="宋体" w:cs="宋体"/>
                <w:kern w:val="0"/>
                <w:szCs w:val="21"/>
              </w:rPr>
            </w:pPr>
            <w:r>
              <w:rPr>
                <w:kern w:val="0"/>
                <w:szCs w:val="21"/>
              </w:rPr>
              <w:t>Exams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高等流体力学</w:t>
            </w:r>
          </w:p>
          <w:p>
            <w:pPr>
              <w:widowControl/>
              <w:jc w:val="left"/>
              <w:rPr>
                <w:kern w:val="0"/>
                <w:szCs w:val="21"/>
              </w:rPr>
            </w:pPr>
            <w:r>
              <w:rPr>
                <w:kern w:val="0"/>
                <w:szCs w:val="21"/>
              </w:rPr>
              <w:t>Advanced Fluid Mechanics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LS04B2003</w:t>
            </w:r>
          </w:p>
        </w:tc>
        <w:tc>
          <w:tcPr>
            <w:tcW w:w="807"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48</w:t>
            </w:r>
          </w:p>
        </w:tc>
        <w:tc>
          <w:tcPr>
            <w:tcW w:w="894"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3</w:t>
            </w:r>
          </w:p>
        </w:tc>
        <w:tc>
          <w:tcPr>
            <w:tcW w:w="709"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Times New Roman" w:hAnsi="Times New Roman" w:eastAsia="宋体" w:cs="Times New Roman"/>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考试</w:t>
            </w:r>
          </w:p>
          <w:p>
            <w:pPr>
              <w:widowControl/>
              <w:jc w:val="center"/>
              <w:rPr>
                <w:rFonts w:ascii="宋体" w:cs="宋体"/>
                <w:kern w:val="0"/>
                <w:szCs w:val="21"/>
              </w:rPr>
            </w:pPr>
            <w:r>
              <w:rPr>
                <w:kern w:val="0"/>
                <w:szCs w:val="21"/>
              </w:rPr>
              <w:t>Exams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高等传热学</w:t>
            </w:r>
          </w:p>
          <w:p>
            <w:pPr>
              <w:widowControl/>
              <w:jc w:val="left"/>
              <w:rPr>
                <w:kern w:val="0"/>
                <w:szCs w:val="21"/>
              </w:rPr>
            </w:pPr>
            <w:r>
              <w:t>Advanced Heat Transfer</w:t>
            </w:r>
            <w:r>
              <w:rPr>
                <w:rFonts w:hint="eastAsia"/>
              </w:rPr>
              <w:t xml:space="preserve"> </w:t>
            </w:r>
            <w:r>
              <w:rPr>
                <w:kern w:val="0"/>
                <w:szCs w:val="21"/>
              </w:rPr>
              <w:t>Theory</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hAnsi="宋体" w:cs="宋体"/>
                <w:kern w:val="0"/>
                <w:szCs w:val="21"/>
                <w:lang w:val="en-US"/>
              </w:rPr>
            </w:pPr>
            <w:r>
              <w:rPr>
                <w:rFonts w:hint="eastAsia" w:ascii="宋体" w:hAnsi="宋体" w:cs="宋体"/>
                <w:kern w:val="0"/>
                <w:szCs w:val="21"/>
                <w:lang w:val="en-US" w:eastAsia="zh-CN"/>
              </w:rPr>
              <w:t>LS04B2005</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ascii="宋体" w:hAnsi="宋体" w:cs="宋体"/>
                <w:kern w:val="0"/>
                <w:szCs w:val="21"/>
              </w:rPr>
              <w:t>48</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ascii="宋体" w:hAnsi="宋体" w:cs="宋体"/>
                <w:kern w:val="0"/>
                <w:szCs w:val="21"/>
              </w:rPr>
              <w:t>3</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考试</w:t>
            </w:r>
          </w:p>
          <w:p>
            <w:pPr>
              <w:widowControl/>
              <w:jc w:val="center"/>
              <w:rPr>
                <w:rFonts w:ascii="宋体" w:cs="宋体"/>
                <w:kern w:val="0"/>
                <w:szCs w:val="21"/>
              </w:rPr>
            </w:pPr>
            <w:r>
              <w:rPr>
                <w:kern w:val="0"/>
                <w:szCs w:val="21"/>
              </w:rPr>
              <w:t>Exams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高等工程热力学</w:t>
            </w:r>
          </w:p>
          <w:p>
            <w:pPr>
              <w:widowControl/>
              <w:jc w:val="left"/>
              <w:rPr>
                <w:kern w:val="0"/>
                <w:szCs w:val="21"/>
              </w:rPr>
            </w:pPr>
            <w:r>
              <w:rPr>
                <w:kern w:val="0"/>
                <w:szCs w:val="21"/>
              </w:rPr>
              <w:t>Advanced Engineering Thermodynamics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LS04B2006</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ascii="宋体" w:cs="宋体"/>
                <w:kern w:val="0"/>
                <w:szCs w:val="21"/>
              </w:rPr>
              <w:t>48</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ascii="宋体" w:cs="宋体"/>
                <w:kern w:val="0"/>
                <w:szCs w:val="21"/>
              </w:rPr>
              <w:t>3</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考试</w:t>
            </w:r>
          </w:p>
          <w:p>
            <w:pPr>
              <w:widowControl/>
              <w:jc w:val="center"/>
              <w:rPr>
                <w:rFonts w:ascii="宋体" w:cs="宋体"/>
                <w:kern w:val="0"/>
                <w:szCs w:val="21"/>
              </w:rPr>
            </w:pPr>
            <w:r>
              <w:rPr>
                <w:kern w:val="0"/>
                <w:szCs w:val="21"/>
              </w:rPr>
              <w:t>Exams</w:t>
            </w: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pPr>
            <w:r>
              <w:t>专业方向选修课程</w:t>
            </w:r>
          </w:p>
          <w:p>
            <w:pPr>
              <w:widowControl/>
              <w:jc w:val="center"/>
              <w:rPr>
                <w:rFonts w:ascii="宋体" w:cs="宋体"/>
                <w:kern w:val="0"/>
                <w:szCs w:val="21"/>
              </w:rPr>
            </w:pPr>
            <w:r>
              <w:rPr>
                <w:rFonts w:hint="eastAsia"/>
              </w:rPr>
              <w:t>Selective Courses</w:t>
            </w:r>
          </w:p>
        </w:tc>
        <w:tc>
          <w:tcPr>
            <w:tcW w:w="2880" w:type="dxa"/>
            <w:tcBorders>
              <w:top w:val="single" w:color="auto" w:sz="4" w:space="0"/>
              <w:left w:val="nil"/>
              <w:bottom w:val="single" w:color="auto" w:sz="4" w:space="0"/>
              <w:right w:val="single" w:color="auto" w:sz="4" w:space="0"/>
            </w:tcBorders>
            <w:noWrap/>
            <w:vAlign w:val="center"/>
          </w:tcPr>
          <w:p>
            <w:pPr>
              <w:widowControl/>
              <w:jc w:val="left"/>
              <w:rPr>
                <w:kern w:val="0"/>
                <w:szCs w:val="21"/>
              </w:rPr>
            </w:pPr>
            <w:r>
              <w:rPr>
                <w:kern w:val="0"/>
                <w:szCs w:val="21"/>
              </w:rPr>
              <w:t>计算流体力学</w:t>
            </w:r>
          </w:p>
          <w:p>
            <w:pPr>
              <w:widowControl/>
              <w:jc w:val="left"/>
              <w:rPr>
                <w:kern w:val="0"/>
                <w:szCs w:val="21"/>
              </w:rPr>
            </w:pPr>
            <w:r>
              <w:rPr>
                <w:kern w:val="0"/>
                <w:szCs w:val="21"/>
              </w:rPr>
              <w:t>Comput</w:t>
            </w:r>
            <w:r>
              <w:rPr>
                <w:rFonts w:hint="eastAsia"/>
                <w:kern w:val="0"/>
                <w:szCs w:val="21"/>
              </w:rPr>
              <w:t>ational</w:t>
            </w:r>
            <w:r>
              <w:rPr>
                <w:kern w:val="0"/>
                <w:szCs w:val="21"/>
              </w:rPr>
              <w:t xml:space="preserve"> Fluid Dynamics</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LS04C2005</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ascii="宋体" w:hAnsi="宋体" w:cs="宋体"/>
                <w:kern w:val="0"/>
                <w:szCs w:val="21"/>
              </w:rPr>
              <w:t>48</w:t>
            </w:r>
          </w:p>
        </w:tc>
        <w:tc>
          <w:tcPr>
            <w:tcW w:w="894"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ascii="宋体" w:hAnsi="宋体" w:cs="宋体"/>
                <w:kern w:val="0"/>
                <w:szCs w:val="21"/>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kern w:val="0"/>
                <w:szCs w:val="21"/>
              </w:rPr>
            </w:pPr>
            <w:r>
              <w:rPr>
                <w:kern w:val="0"/>
                <w:szCs w:val="21"/>
              </w:rPr>
              <w:t>Tests</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学分</w:t>
            </w: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两相流体力学</w:t>
            </w:r>
          </w:p>
          <w:p>
            <w:pPr>
              <w:widowControl/>
              <w:jc w:val="left"/>
            </w:pPr>
            <w:r>
              <w:t>Two-phase Fluid Dynamics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LS04C2014</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32</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2</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rFonts w:ascii="宋体" w:hAnsi="宋体" w:cs="宋体"/>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流体工程仿真理论与实践</w:t>
            </w:r>
          </w:p>
          <w:p>
            <w:pPr>
              <w:widowControl/>
              <w:jc w:val="left"/>
              <w:rPr>
                <w:color w:val="FF0000"/>
              </w:rPr>
            </w:pPr>
            <w:r>
              <w:rPr>
                <w:rFonts w:hint="eastAsia"/>
              </w:rPr>
              <w:t>Fluid Engineering Simulation Theory and Practice</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LS04C2015</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32</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2</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rFonts w:ascii="宋体" w:hAnsi="宋体" w:cs="宋体"/>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工程热物理研究进展</w:t>
            </w:r>
          </w:p>
          <w:p>
            <w:pPr>
              <w:widowControl/>
              <w:jc w:val="left"/>
              <w:rPr>
                <w:kern w:val="0"/>
                <w:szCs w:val="21"/>
              </w:rPr>
            </w:pPr>
            <w:r>
              <w:t>Recent Progress in Engineering Thermophysics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LS04C2016</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32</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2</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rFonts w:ascii="宋体" w:hAnsi="宋体" w:cs="宋体"/>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高等燃烧学</w:t>
            </w:r>
          </w:p>
          <w:p>
            <w:pPr>
              <w:widowControl/>
              <w:jc w:val="left"/>
              <w:rPr>
                <w:kern w:val="0"/>
                <w:szCs w:val="21"/>
              </w:rPr>
            </w:pPr>
            <w:r>
              <w:t>Advanced Combustion Science</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LS04C2017</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32</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2</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数值传热学</w:t>
            </w:r>
          </w:p>
          <w:p>
            <w:pPr>
              <w:widowControl/>
              <w:jc w:val="left"/>
              <w:rPr>
                <w:color w:val="FF0000"/>
              </w:rPr>
            </w:pPr>
            <w:r>
              <w:rPr>
                <w:rFonts w:hint="eastAsia"/>
              </w:rPr>
              <w:t>Numerical Heat Transfer</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LS04C2018</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32</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2</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rFonts w:ascii="宋体" w:hAnsi="宋体" w:cs="宋体"/>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pPr>
            <w:r>
              <w:rPr>
                <w:rFonts w:hint="eastAsia"/>
              </w:rPr>
              <w:t>热力系统与设备优化</w:t>
            </w:r>
          </w:p>
          <w:p>
            <w:pPr>
              <w:widowControl/>
              <w:jc w:val="left"/>
              <w:rPr>
                <w:kern w:val="0"/>
                <w:szCs w:val="21"/>
              </w:rPr>
            </w:pPr>
            <w:r>
              <w:t>Optimization of Thermal Systems and Devices</w:t>
            </w:r>
          </w:p>
        </w:tc>
        <w:tc>
          <w:tcPr>
            <w:tcW w:w="807" w:type="dxa"/>
            <w:tcBorders>
              <w:top w:val="nil"/>
              <w:left w:val="nil"/>
              <w:bottom w:val="single" w:color="auto" w:sz="4" w:space="0"/>
              <w:right w:val="single" w:color="auto" w:sz="4" w:space="0"/>
            </w:tcBorders>
            <w:noWrap/>
            <w:vAlign w:val="center"/>
          </w:tcPr>
          <w:p>
            <w:pPr>
              <w:widowControl/>
              <w:jc w:val="center"/>
              <w:rPr>
                <w:rFonts w:hint="default" w:ascii="宋体" w:cs="宋体"/>
                <w:kern w:val="0"/>
                <w:szCs w:val="21"/>
                <w:lang w:val="en-US"/>
              </w:rPr>
            </w:pPr>
            <w:r>
              <w:rPr>
                <w:rFonts w:hint="eastAsia" w:ascii="宋体" w:hAnsi="宋体" w:cs="宋体"/>
                <w:kern w:val="0"/>
                <w:szCs w:val="21"/>
                <w:lang w:val="en-US" w:eastAsia="zh-CN"/>
              </w:rPr>
              <w:t>LS04C2019</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32</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2</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文献检索</w:t>
            </w:r>
          </w:p>
          <w:p>
            <w:pPr>
              <w:widowControl/>
              <w:jc w:val="left"/>
              <w:rPr>
                <w:kern w:val="0"/>
                <w:szCs w:val="21"/>
              </w:rPr>
            </w:pPr>
            <w:r>
              <w:rPr>
                <w:kern w:val="0"/>
                <w:szCs w:val="21"/>
              </w:rPr>
              <w:t>Literature Retrieval</w:t>
            </w:r>
          </w:p>
        </w:tc>
        <w:tc>
          <w:tcPr>
            <w:tcW w:w="807"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LS04C2011</w:t>
            </w:r>
          </w:p>
        </w:tc>
        <w:tc>
          <w:tcPr>
            <w:tcW w:w="80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kern w:val="0"/>
                <w:szCs w:val="21"/>
              </w:rPr>
            </w:pPr>
            <w:bookmarkStart w:id="2" w:name="OLE_LINK7"/>
            <w:bookmarkStart w:id="3" w:name="OLE_LINK8"/>
            <w:r>
              <w:rPr>
                <w:kern w:val="0"/>
                <w:szCs w:val="21"/>
              </w:rPr>
              <w:t>Tests</w:t>
            </w:r>
            <w:bookmarkEnd w:id="2"/>
            <w:bookmarkEnd w:id="3"/>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科技论文写作</w:t>
            </w:r>
          </w:p>
          <w:p>
            <w:pPr>
              <w:widowControl/>
              <w:jc w:val="left"/>
              <w:rPr>
                <w:kern w:val="0"/>
                <w:szCs w:val="21"/>
              </w:rPr>
            </w:pPr>
            <w:r>
              <w:rPr>
                <w:kern w:val="0"/>
                <w:szCs w:val="21"/>
              </w:rPr>
              <w:t>Academic Thesis Writing</w:t>
            </w:r>
          </w:p>
        </w:tc>
        <w:tc>
          <w:tcPr>
            <w:tcW w:w="807"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LS04C2012</w:t>
            </w:r>
          </w:p>
        </w:tc>
        <w:tc>
          <w:tcPr>
            <w:tcW w:w="80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rFonts w:ascii="宋体" w:hAnsi="宋体" w:cs="宋体"/>
                <w:kern w:val="0"/>
                <w:szCs w:val="21"/>
              </w:rPr>
            </w:pPr>
            <w:r>
              <w:rPr>
                <w:kern w:val="0"/>
                <w:szCs w:val="21"/>
              </w:rPr>
              <w:t>Tests</w:t>
            </w:r>
          </w:p>
        </w:tc>
        <w:tc>
          <w:tcPr>
            <w:tcW w:w="709" w:type="dxa"/>
            <w:vMerge w:val="continue"/>
            <w:tcBorders>
              <w:left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280" w:hRule="atLeast"/>
          <w:jc w:val="center"/>
        </w:trPr>
        <w:tc>
          <w:tcPr>
            <w:tcW w:w="1173"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8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知识产权</w:t>
            </w:r>
          </w:p>
          <w:p>
            <w:pPr>
              <w:widowControl/>
              <w:jc w:val="left"/>
              <w:rPr>
                <w:kern w:val="0"/>
                <w:szCs w:val="21"/>
              </w:rPr>
            </w:pPr>
            <w:r>
              <w:rPr>
                <w:kern w:val="0"/>
                <w:szCs w:val="21"/>
              </w:rPr>
              <w:t>(Laws of) Intellectual Property Right</w:t>
            </w:r>
          </w:p>
        </w:tc>
        <w:tc>
          <w:tcPr>
            <w:tcW w:w="807" w:type="dxa"/>
            <w:tcBorders>
              <w:top w:val="nil"/>
              <w:left w:val="nil"/>
              <w:bottom w:val="single" w:color="auto" w:sz="4" w:space="0"/>
              <w:right w:val="single" w:color="auto" w:sz="4" w:space="0"/>
            </w:tcBorders>
            <w:noWrap/>
            <w:vAlign w:val="center"/>
          </w:tcPr>
          <w:p>
            <w:pPr>
              <w:widowControl/>
              <w:jc w:val="center"/>
              <w:rPr>
                <w:rFonts w:hint="eastAsia" w:ascii="宋体" w:cs="宋体"/>
                <w:kern w:val="0"/>
                <w:szCs w:val="21"/>
              </w:rPr>
            </w:pPr>
            <w:r>
              <w:rPr>
                <w:rFonts w:hint="eastAsia" w:ascii="宋体" w:hAnsi="宋体" w:cs="宋体"/>
                <w:kern w:val="0"/>
                <w:szCs w:val="21"/>
                <w:lang w:val="en-US" w:eastAsia="zh-CN"/>
              </w:rPr>
              <w:t>LS04C2013</w:t>
            </w:r>
          </w:p>
        </w:tc>
        <w:tc>
          <w:tcPr>
            <w:tcW w:w="807"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16</w:t>
            </w:r>
          </w:p>
        </w:tc>
        <w:tc>
          <w:tcPr>
            <w:tcW w:w="894" w:type="dxa"/>
            <w:tcBorders>
              <w:top w:val="nil"/>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cs="宋体"/>
                <w:kern w:val="0"/>
                <w:szCs w:val="21"/>
              </w:rPr>
              <w:t>1</w:t>
            </w:r>
          </w:p>
        </w:tc>
        <w:tc>
          <w:tcPr>
            <w:tcW w:w="709" w:type="dxa"/>
            <w:tcBorders>
              <w:top w:val="nil"/>
              <w:left w:val="nil"/>
              <w:bottom w:val="single" w:color="auto" w:sz="4" w:space="0"/>
              <w:right w:val="single" w:color="auto" w:sz="4" w:space="0"/>
            </w:tcBorders>
            <w:noWrap/>
            <w:vAlign w:val="center"/>
          </w:tcPr>
          <w:p>
            <w:pPr>
              <w:widowControl/>
              <w:jc w:val="center"/>
              <w:rPr>
                <w:rFonts w:hint="default" w:ascii="宋体" w:hAnsi="Times New Roman" w:eastAsia="宋体" w:cs="宋体"/>
                <w:kern w:val="0"/>
                <w:sz w:val="21"/>
                <w:szCs w:val="21"/>
                <w:lang w:val="en-US" w:eastAsia="zh-CN" w:bidi="ar-SA"/>
              </w:rPr>
            </w:pPr>
            <w:r>
              <w:rPr>
                <w:rFonts w:ascii="宋体" w:hAnsi="宋体" w:cs="宋体"/>
                <w:kern w:val="0"/>
                <w:szCs w:val="21"/>
              </w:rPr>
              <w:t>1</w:t>
            </w:r>
            <w:r>
              <w:rPr>
                <w:rFonts w:hint="eastAsia" w:ascii="宋体" w:hAnsi="宋体" w:cs="宋体"/>
                <w:kern w:val="0"/>
                <w:szCs w:val="21"/>
                <w:lang w:val="en-US" w:eastAsia="zh-CN"/>
              </w:rPr>
              <w:t>-2</w:t>
            </w:r>
          </w:p>
        </w:tc>
        <w:tc>
          <w:tcPr>
            <w:tcW w:w="15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石工学院</w:t>
            </w:r>
          </w:p>
          <w:p>
            <w:pPr>
              <w:widowControl/>
              <w:jc w:val="center"/>
              <w:rPr>
                <w:rFonts w:ascii="宋体" w:hAnsi="Times New Roman" w:eastAsia="宋体" w:cs="宋体"/>
                <w:kern w:val="0"/>
                <w:sz w:val="21"/>
                <w:szCs w:val="21"/>
                <w:lang w:val="en-US" w:eastAsia="zh-CN" w:bidi="ar-SA"/>
              </w:rPr>
            </w:pPr>
            <w:r>
              <w:rPr>
                <w:kern w:val="0"/>
                <w:szCs w:val="21"/>
              </w:rPr>
              <w:t>School of Petroleum and Natural Gas</w:t>
            </w:r>
            <w:r>
              <w:rPr>
                <w:rFonts w:hint="eastAsia"/>
                <w:kern w:val="0"/>
                <w:szCs w:val="21"/>
                <w:lang w:val="en-US" w:eastAsia="zh-CN"/>
              </w:rPr>
              <w:t xml:space="preserve"> </w:t>
            </w:r>
            <w:r>
              <w:rPr>
                <w:kern w:val="0"/>
                <w:szCs w:val="21"/>
              </w:rPr>
              <w:t>Engineering</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讲授</w:t>
            </w:r>
          </w:p>
          <w:p>
            <w:pPr>
              <w:widowControl/>
              <w:jc w:val="center"/>
              <w:rPr>
                <w:rFonts w:ascii="宋体" w:cs="宋体"/>
                <w:kern w:val="0"/>
                <w:szCs w:val="21"/>
              </w:rPr>
            </w:pPr>
            <w:r>
              <w:rPr>
                <w:kern w:val="0"/>
                <w:szCs w:val="21"/>
              </w:rPr>
              <w:t>Class Teaching</w:t>
            </w:r>
          </w:p>
        </w:tc>
        <w:tc>
          <w:tcPr>
            <w:tcW w:w="9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考查</w:t>
            </w:r>
          </w:p>
          <w:p>
            <w:pPr>
              <w:widowControl/>
              <w:jc w:val="center"/>
              <w:rPr>
                <w:rFonts w:ascii="宋体" w:hAnsi="宋体" w:cs="宋体"/>
                <w:kern w:val="0"/>
                <w:szCs w:val="21"/>
              </w:rPr>
            </w:pPr>
            <w:r>
              <w:rPr>
                <w:kern w:val="0"/>
                <w:szCs w:val="21"/>
              </w:rPr>
              <w:t>Tests</w:t>
            </w: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bookmarkEnd w:id="6"/>
    </w:tbl>
    <w:p>
      <w:pPr>
        <w:spacing w:line="312" w:lineRule="auto"/>
        <w:jc w:val="left"/>
        <w:rPr>
          <w:rFonts w:ascii="宋体" w:hAnsi="宋体"/>
          <w:sz w:val="24"/>
        </w:rPr>
      </w:pPr>
      <w:r>
        <w:rPr>
          <w:rFonts w:hint="eastAsia" w:ascii="宋体" w:hAnsi="宋体"/>
          <w:sz w:val="24"/>
        </w:rPr>
        <w:t>*注</w:t>
      </w:r>
      <w:r>
        <w:rPr>
          <w:rFonts w:ascii="宋体" w:hAnsi="宋体"/>
          <w:sz w:val="24"/>
        </w:rPr>
        <w:t>：</w:t>
      </w:r>
    </w:p>
    <w:p>
      <w:pPr>
        <w:spacing w:line="312" w:lineRule="auto"/>
        <w:jc w:val="left"/>
      </w:pPr>
      <w:r>
        <w:rPr>
          <w:rFonts w:hint="eastAsia" w:ascii="宋体" w:hAnsi="宋体"/>
          <w:sz w:val="24"/>
        </w:rPr>
        <w:t>1</w:t>
      </w:r>
      <w:r>
        <w:rPr>
          <w:rFonts w:ascii="宋体" w:hAnsi="宋体"/>
          <w:sz w:val="24"/>
        </w:rPr>
        <w:t>.</w:t>
      </w:r>
      <w:r>
        <w:t>提前达到国家规定的《国际汉语能力标准》毕业等级要求的研究生可以申请免修后续的汉语类课程，经过开课学院审核批准免修的学分计入已修学分。中国文化类课程不得免修。</w:t>
      </w:r>
    </w:p>
    <w:p>
      <w:pPr>
        <w:spacing w:line="312" w:lineRule="auto"/>
        <w:jc w:val="left"/>
      </w:pPr>
      <w:r>
        <w:rPr>
          <w:rFonts w:hint="eastAsia"/>
        </w:rPr>
        <w:t>2．</w:t>
      </w:r>
      <w:r>
        <w:t>毕业时，以中文为专业教学语言的学科、专业中，来华留学生研究生的中文能力应至少达到《国际汉语能力标注》五级水平。以外语为专业教学语言的学科、专业中，来华留学研究生的中文能力应至少达到《国际汉语能力标注》三级水平。</w:t>
      </w:r>
    </w:p>
    <w:p>
      <w:pPr>
        <w:spacing w:line="312" w:lineRule="auto"/>
        <w:jc w:val="left"/>
      </w:pPr>
      <w:r>
        <w:rPr>
          <w:rFonts w:hint="eastAsia"/>
        </w:rPr>
        <w:t>Notes:</w:t>
      </w:r>
    </w:p>
    <w:p>
      <w:pPr>
        <w:spacing w:line="312" w:lineRule="auto"/>
      </w:pPr>
      <w:r>
        <w:t xml:space="preserve">1. Postgraduates who meet the </w:t>
      </w:r>
      <w:r>
        <w:rPr>
          <w:rFonts w:hint="eastAsia"/>
        </w:rPr>
        <w:t xml:space="preserve">graduation </w:t>
      </w:r>
      <w:r>
        <w:t xml:space="preserve">requirements of “International Chinese Language Competence Standard” stipulated by the State in advance may apply for </w:t>
      </w:r>
      <w:r>
        <w:rPr>
          <w:rFonts w:hint="eastAsia"/>
        </w:rPr>
        <w:t xml:space="preserve">exempting </w:t>
      </w:r>
      <w:r>
        <w:t xml:space="preserve">the following Chinese courses, and the exempted credits shall be credited to </w:t>
      </w:r>
      <w:r>
        <w:rPr>
          <w:rFonts w:hint="eastAsia"/>
        </w:rPr>
        <w:t xml:space="preserve">the total credits of courses taken </w:t>
      </w:r>
      <w:r>
        <w:t xml:space="preserve">after the examination and approval of the </w:t>
      </w:r>
      <w:r>
        <w:rPr>
          <w:rFonts w:hint="eastAsia"/>
        </w:rPr>
        <w:t>course-o</w:t>
      </w:r>
      <w:r>
        <w:t>pening College. Chinese culture courses are compulsory.</w:t>
      </w:r>
    </w:p>
    <w:p>
      <w:pPr>
        <w:spacing w:line="312" w:lineRule="auto"/>
      </w:pPr>
      <w:r>
        <w:t>2.Upon graduation, international graduate students of Chinese-taught majors should reach at least level 5 as required by “Chinese Language Proficiency Scales for Speakers of Other Languages”. For international graduate students of English-taught majors-at least level 3.</w:t>
      </w:r>
    </w:p>
    <w:p>
      <w:pPr>
        <w:spacing w:line="312" w:lineRule="auto"/>
        <w:rPr>
          <w:rFonts w:ascii="宋体" w:hAnsi="宋体"/>
          <w:b/>
          <w:bCs/>
          <w:sz w:val="24"/>
        </w:rPr>
      </w:pPr>
      <w:r>
        <w:rPr>
          <w:rFonts w:hint="eastAsia" w:ascii="宋体" w:hAnsi="宋体"/>
          <w:b/>
          <w:bCs/>
          <w:sz w:val="24"/>
        </w:rPr>
        <w:t>六、学位论文工作</w:t>
      </w:r>
    </w:p>
    <w:p>
      <w:pPr>
        <w:spacing w:line="312" w:lineRule="auto"/>
        <w:rPr>
          <w:b/>
          <w:bCs/>
          <w:sz w:val="24"/>
        </w:rPr>
      </w:pPr>
      <w:r>
        <w:rPr>
          <w:rFonts w:hint="eastAsia"/>
          <w:b/>
          <w:bCs/>
          <w:sz w:val="24"/>
        </w:rPr>
        <w:t xml:space="preserve">6. </w:t>
      </w:r>
      <w:r>
        <w:rPr>
          <w:b/>
          <w:bCs/>
          <w:sz w:val="24"/>
        </w:rPr>
        <w:t>Dissertation Work</w:t>
      </w:r>
    </w:p>
    <w:p>
      <w:pPr>
        <w:spacing w:line="312" w:lineRule="auto"/>
        <w:ind w:firstLine="480" w:firstLineChars="200"/>
        <w:jc w:val="left"/>
        <w:rPr>
          <w:rFonts w:ascii="宋体" w:hAnsi="宋体"/>
          <w:sz w:val="24"/>
        </w:rPr>
      </w:pPr>
      <w:r>
        <w:rPr>
          <w:rFonts w:hint="eastAsia" w:ascii="宋体" w:hAnsi="宋体"/>
          <w:sz w:val="24"/>
        </w:rPr>
        <w:t>参照《常州大学</w:t>
      </w:r>
      <w:bookmarkStart w:id="4" w:name="OLE_LINK9"/>
      <w:bookmarkStart w:id="5" w:name="OLE_LINK10"/>
      <w:r>
        <w:rPr>
          <w:rFonts w:hint="eastAsia" w:ascii="宋体" w:hAnsi="宋体"/>
          <w:sz w:val="24"/>
        </w:rPr>
        <w:t>学术学位</w:t>
      </w:r>
      <w:bookmarkEnd w:id="4"/>
      <w:bookmarkEnd w:id="5"/>
      <w:r>
        <w:rPr>
          <w:rFonts w:hint="eastAsia" w:ascii="宋体" w:hAnsi="宋体"/>
          <w:sz w:val="24"/>
        </w:rPr>
        <w:t>硕士研究生培养方案（总则）》实施。</w:t>
      </w:r>
    </w:p>
    <w:p>
      <w:pPr>
        <w:spacing w:line="312" w:lineRule="auto"/>
        <w:ind w:firstLine="480" w:firstLineChars="200"/>
        <w:jc w:val="left"/>
        <w:rPr>
          <w:sz w:val="24"/>
        </w:rPr>
      </w:pPr>
      <w:r>
        <w:rPr>
          <w:sz w:val="24"/>
        </w:rPr>
        <w:t>Refer to“</w:t>
      </w:r>
      <w:r>
        <w:rPr>
          <w:rFonts w:hint="eastAsia"/>
          <w:sz w:val="24"/>
        </w:rPr>
        <w:t>Academic Degree Master Programs of Changzhou University (General Provisions)</w:t>
      </w:r>
      <w:r>
        <w:rPr>
          <w:sz w:val="24"/>
        </w:rPr>
        <w:t>”</w:t>
      </w:r>
      <w:r>
        <w:rPr>
          <w:rFonts w:hint="eastAsia"/>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E8F7F"/>
    <w:multiLevelType w:val="singleLevel"/>
    <w:tmpl w:val="0C7E8F7F"/>
    <w:lvl w:ilvl="0" w:tentative="0">
      <w:start w:val="1"/>
      <w:numFmt w:val="decimal"/>
      <w:suff w:val="space"/>
      <w:lvlText w:val="%1."/>
      <w:lvlJc w:val="left"/>
    </w:lvl>
  </w:abstractNum>
  <w:abstractNum w:abstractNumId="1">
    <w:nsid w:val="6E0A0E8F"/>
    <w:multiLevelType w:val="singleLevel"/>
    <w:tmpl w:val="6E0A0E8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kNjRkOGYxMThiNTcxNWFiNTRlYTRhNjc2MzA5NDgifQ=="/>
  </w:docVars>
  <w:rsids>
    <w:rsidRoot w:val="000C1991"/>
    <w:rsid w:val="00012A27"/>
    <w:rsid w:val="000132B9"/>
    <w:rsid w:val="000159F4"/>
    <w:rsid w:val="00076D0F"/>
    <w:rsid w:val="00081B11"/>
    <w:rsid w:val="00083059"/>
    <w:rsid w:val="00096837"/>
    <w:rsid w:val="000A2464"/>
    <w:rsid w:val="000A7D7F"/>
    <w:rsid w:val="000B74BC"/>
    <w:rsid w:val="000C0001"/>
    <w:rsid w:val="000C1991"/>
    <w:rsid w:val="001006CE"/>
    <w:rsid w:val="00124B5A"/>
    <w:rsid w:val="00126863"/>
    <w:rsid w:val="0013627C"/>
    <w:rsid w:val="00143E35"/>
    <w:rsid w:val="001464BF"/>
    <w:rsid w:val="001477B0"/>
    <w:rsid w:val="00147901"/>
    <w:rsid w:val="00160501"/>
    <w:rsid w:val="001630EB"/>
    <w:rsid w:val="00166E2F"/>
    <w:rsid w:val="00190018"/>
    <w:rsid w:val="00194788"/>
    <w:rsid w:val="001C0DCD"/>
    <w:rsid w:val="001C18C7"/>
    <w:rsid w:val="001C3F01"/>
    <w:rsid w:val="001E2DDE"/>
    <w:rsid w:val="001E789A"/>
    <w:rsid w:val="001F1181"/>
    <w:rsid w:val="00203451"/>
    <w:rsid w:val="002152A5"/>
    <w:rsid w:val="00223730"/>
    <w:rsid w:val="0022642B"/>
    <w:rsid w:val="0022644D"/>
    <w:rsid w:val="002359AB"/>
    <w:rsid w:val="00246E8F"/>
    <w:rsid w:val="002604DE"/>
    <w:rsid w:val="00264D19"/>
    <w:rsid w:val="0027237B"/>
    <w:rsid w:val="002771B3"/>
    <w:rsid w:val="00281782"/>
    <w:rsid w:val="002871AE"/>
    <w:rsid w:val="002C59E9"/>
    <w:rsid w:val="002D63A3"/>
    <w:rsid w:val="00300B83"/>
    <w:rsid w:val="00304F46"/>
    <w:rsid w:val="00317310"/>
    <w:rsid w:val="00320C05"/>
    <w:rsid w:val="003278E8"/>
    <w:rsid w:val="00342927"/>
    <w:rsid w:val="003518C8"/>
    <w:rsid w:val="00356C86"/>
    <w:rsid w:val="0037154D"/>
    <w:rsid w:val="003751F6"/>
    <w:rsid w:val="00383F6A"/>
    <w:rsid w:val="00391210"/>
    <w:rsid w:val="00391D09"/>
    <w:rsid w:val="00394DAD"/>
    <w:rsid w:val="003954C9"/>
    <w:rsid w:val="003958B9"/>
    <w:rsid w:val="003A3371"/>
    <w:rsid w:val="003B27BB"/>
    <w:rsid w:val="003C1E83"/>
    <w:rsid w:val="003C356E"/>
    <w:rsid w:val="003C7EA5"/>
    <w:rsid w:val="003F01A5"/>
    <w:rsid w:val="003F3135"/>
    <w:rsid w:val="003F6F79"/>
    <w:rsid w:val="00403F50"/>
    <w:rsid w:val="00420BD0"/>
    <w:rsid w:val="004327AC"/>
    <w:rsid w:val="00443FC7"/>
    <w:rsid w:val="004468A5"/>
    <w:rsid w:val="00450297"/>
    <w:rsid w:val="00463BCC"/>
    <w:rsid w:val="004759CC"/>
    <w:rsid w:val="004B3258"/>
    <w:rsid w:val="004B7C0F"/>
    <w:rsid w:val="004F0A19"/>
    <w:rsid w:val="004F5CA8"/>
    <w:rsid w:val="00504D42"/>
    <w:rsid w:val="00504EDE"/>
    <w:rsid w:val="00515814"/>
    <w:rsid w:val="00525CA2"/>
    <w:rsid w:val="005311A2"/>
    <w:rsid w:val="00545C03"/>
    <w:rsid w:val="005626F1"/>
    <w:rsid w:val="00582640"/>
    <w:rsid w:val="005A6771"/>
    <w:rsid w:val="005B3154"/>
    <w:rsid w:val="005C737D"/>
    <w:rsid w:val="005D50E4"/>
    <w:rsid w:val="005D54F4"/>
    <w:rsid w:val="005E1551"/>
    <w:rsid w:val="005E2722"/>
    <w:rsid w:val="005E77B9"/>
    <w:rsid w:val="006127FC"/>
    <w:rsid w:val="006141CB"/>
    <w:rsid w:val="006200CE"/>
    <w:rsid w:val="006562A8"/>
    <w:rsid w:val="006575B6"/>
    <w:rsid w:val="00667542"/>
    <w:rsid w:val="00681021"/>
    <w:rsid w:val="006854B0"/>
    <w:rsid w:val="0068760B"/>
    <w:rsid w:val="006878B4"/>
    <w:rsid w:val="0069186B"/>
    <w:rsid w:val="00696612"/>
    <w:rsid w:val="006A0A31"/>
    <w:rsid w:val="006C34D4"/>
    <w:rsid w:val="006C7BA2"/>
    <w:rsid w:val="006D2EEE"/>
    <w:rsid w:val="006E5198"/>
    <w:rsid w:val="00710766"/>
    <w:rsid w:val="00720483"/>
    <w:rsid w:val="00732860"/>
    <w:rsid w:val="00736EA2"/>
    <w:rsid w:val="007750B3"/>
    <w:rsid w:val="00775C1C"/>
    <w:rsid w:val="00776EEF"/>
    <w:rsid w:val="0078087D"/>
    <w:rsid w:val="007972D0"/>
    <w:rsid w:val="007A5C66"/>
    <w:rsid w:val="007B1173"/>
    <w:rsid w:val="007B4BAB"/>
    <w:rsid w:val="007B5E78"/>
    <w:rsid w:val="007C6710"/>
    <w:rsid w:val="007E2972"/>
    <w:rsid w:val="007E7BA4"/>
    <w:rsid w:val="00821443"/>
    <w:rsid w:val="00822883"/>
    <w:rsid w:val="00825BAF"/>
    <w:rsid w:val="0083645C"/>
    <w:rsid w:val="00836522"/>
    <w:rsid w:val="00857D5D"/>
    <w:rsid w:val="00865B84"/>
    <w:rsid w:val="008801A9"/>
    <w:rsid w:val="008A363D"/>
    <w:rsid w:val="008C0FD4"/>
    <w:rsid w:val="008D0879"/>
    <w:rsid w:val="008E3783"/>
    <w:rsid w:val="008F4849"/>
    <w:rsid w:val="00903DCF"/>
    <w:rsid w:val="00905691"/>
    <w:rsid w:val="0090648E"/>
    <w:rsid w:val="00911F58"/>
    <w:rsid w:val="00947E8A"/>
    <w:rsid w:val="0096478A"/>
    <w:rsid w:val="00975A85"/>
    <w:rsid w:val="00992848"/>
    <w:rsid w:val="009A49F2"/>
    <w:rsid w:val="009C62AD"/>
    <w:rsid w:val="009C74F9"/>
    <w:rsid w:val="009D621C"/>
    <w:rsid w:val="009F05A0"/>
    <w:rsid w:val="00A06FFB"/>
    <w:rsid w:val="00A55E36"/>
    <w:rsid w:val="00A63D59"/>
    <w:rsid w:val="00A67C69"/>
    <w:rsid w:val="00AA552B"/>
    <w:rsid w:val="00AB266E"/>
    <w:rsid w:val="00AB55FC"/>
    <w:rsid w:val="00AC2FE8"/>
    <w:rsid w:val="00AC6BA3"/>
    <w:rsid w:val="00AC7F03"/>
    <w:rsid w:val="00AD38E5"/>
    <w:rsid w:val="00AE5F85"/>
    <w:rsid w:val="00AE7E4A"/>
    <w:rsid w:val="00AF2A40"/>
    <w:rsid w:val="00AF3BAE"/>
    <w:rsid w:val="00B11383"/>
    <w:rsid w:val="00B12F88"/>
    <w:rsid w:val="00B205B2"/>
    <w:rsid w:val="00B27261"/>
    <w:rsid w:val="00B44F86"/>
    <w:rsid w:val="00B50D36"/>
    <w:rsid w:val="00B527DB"/>
    <w:rsid w:val="00B61CBC"/>
    <w:rsid w:val="00B729FE"/>
    <w:rsid w:val="00B9415A"/>
    <w:rsid w:val="00B97541"/>
    <w:rsid w:val="00BB2AC8"/>
    <w:rsid w:val="00BB51B1"/>
    <w:rsid w:val="00BC2568"/>
    <w:rsid w:val="00BC5399"/>
    <w:rsid w:val="00BD582F"/>
    <w:rsid w:val="00BF43A0"/>
    <w:rsid w:val="00C005FB"/>
    <w:rsid w:val="00C16425"/>
    <w:rsid w:val="00C465DC"/>
    <w:rsid w:val="00C6437D"/>
    <w:rsid w:val="00C81DFF"/>
    <w:rsid w:val="00CA2ED1"/>
    <w:rsid w:val="00CB2141"/>
    <w:rsid w:val="00CB6482"/>
    <w:rsid w:val="00CD7572"/>
    <w:rsid w:val="00CE42C6"/>
    <w:rsid w:val="00CF4887"/>
    <w:rsid w:val="00D151F3"/>
    <w:rsid w:val="00D20F23"/>
    <w:rsid w:val="00D32247"/>
    <w:rsid w:val="00D641C4"/>
    <w:rsid w:val="00D72089"/>
    <w:rsid w:val="00D92712"/>
    <w:rsid w:val="00DA0B1F"/>
    <w:rsid w:val="00DA60A0"/>
    <w:rsid w:val="00DE3FFC"/>
    <w:rsid w:val="00DF70D5"/>
    <w:rsid w:val="00E1219A"/>
    <w:rsid w:val="00E13F50"/>
    <w:rsid w:val="00E219AC"/>
    <w:rsid w:val="00E23B3D"/>
    <w:rsid w:val="00E26786"/>
    <w:rsid w:val="00E26C13"/>
    <w:rsid w:val="00E33F7C"/>
    <w:rsid w:val="00E36627"/>
    <w:rsid w:val="00E36E06"/>
    <w:rsid w:val="00E447F1"/>
    <w:rsid w:val="00E45F32"/>
    <w:rsid w:val="00E51593"/>
    <w:rsid w:val="00E51E79"/>
    <w:rsid w:val="00E62249"/>
    <w:rsid w:val="00E712AB"/>
    <w:rsid w:val="00E73A5D"/>
    <w:rsid w:val="00E8549C"/>
    <w:rsid w:val="00E9227A"/>
    <w:rsid w:val="00E9629C"/>
    <w:rsid w:val="00EA7F3C"/>
    <w:rsid w:val="00EC2E73"/>
    <w:rsid w:val="00ED1848"/>
    <w:rsid w:val="00ED4D6E"/>
    <w:rsid w:val="00EE06C0"/>
    <w:rsid w:val="00EF0DEE"/>
    <w:rsid w:val="00F5514A"/>
    <w:rsid w:val="00F7042D"/>
    <w:rsid w:val="00F77D68"/>
    <w:rsid w:val="00F87C77"/>
    <w:rsid w:val="00F963B0"/>
    <w:rsid w:val="00FB24CF"/>
    <w:rsid w:val="00FB3EE1"/>
    <w:rsid w:val="00FD1387"/>
    <w:rsid w:val="00FD6824"/>
    <w:rsid w:val="00FE6F9E"/>
    <w:rsid w:val="12AE2B50"/>
    <w:rsid w:val="1EBE10FC"/>
    <w:rsid w:val="22064D0C"/>
    <w:rsid w:val="22B56434"/>
    <w:rsid w:val="662E6255"/>
    <w:rsid w:val="6E0D60B5"/>
    <w:rsid w:val="6F8451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locked/>
    <w:uiPriority w:val="99"/>
    <w:rPr>
      <w:rFonts w:ascii="Times New Roman" w:hAnsi="Times New Roman" w:eastAsia="宋体" w:cs="Times New Roman"/>
      <w:sz w:val="18"/>
      <w:szCs w:val="18"/>
    </w:rPr>
  </w:style>
  <w:style w:type="character" w:customStyle="1" w:styleId="8">
    <w:name w:val="页脚 字符"/>
    <w:link w:val="3"/>
    <w:qFormat/>
    <w:locked/>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kern w:val="2"/>
      <w:sz w:val="18"/>
      <w:szCs w:val="18"/>
    </w:rPr>
  </w:style>
  <w:style w:type="paragraph" w:styleId="10">
    <w:name w:val="List Paragraph"/>
    <w:basedOn w:val="1"/>
    <w:qFormat/>
    <w:uiPriority w:val="34"/>
    <w:pPr>
      <w:ind w:firstLine="420" w:firstLineChars="200"/>
    </w:pPr>
  </w:style>
  <w:style w:type="paragraph" w:customStyle="1" w:styleId="11">
    <w:name w:val="Body text|1"/>
    <w:basedOn w:val="1"/>
    <w:qFormat/>
    <w:uiPriority w:val="0"/>
    <w:pPr>
      <w:spacing w:after="70" w:line="41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F5D8-852E-4B5D-9318-A2677AD40C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2494</Words>
  <Characters>7755</Characters>
  <Lines>61</Lines>
  <Paragraphs>17</Paragraphs>
  <TotalTime>1</TotalTime>
  <ScaleCrop>false</ScaleCrop>
  <LinksUpToDate>false</LinksUpToDate>
  <CharactersWithSpaces>8672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2021-06-22T05:26:00Z</dcterms:created>
  <dc:creator>Windows 用户</dc:creator>
  <cp:lastModifiedBy>86159</cp:lastModifiedBy>
  <cp:lastPrinted>2017-11-20T00:30:00Z</cp:lastPrinted>
  <dcterms:modified xsi:type="dcterms:W3CDTF">2023-07-29T13:15:30Z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D8A19022403241CDA8D6B44A52D5A15A_13</vt:lpwstr>
  </property>
</Properties>
</file>